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CB0C3" w14:textId="25704C80" w:rsidR="00805162" w:rsidRPr="00805162" w:rsidRDefault="006B45AA" w:rsidP="0080516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Proceso de fabricación habitual de mascarillas </w:t>
      </w:r>
      <w:r w:rsidR="003F4B45">
        <w:rPr>
          <w:b/>
          <w:sz w:val="28"/>
          <w:u w:val="single"/>
        </w:rPr>
        <w:t>quirúrgicas</w:t>
      </w:r>
    </w:p>
    <w:p w14:paraId="13960E39" w14:textId="77777777" w:rsidR="00805162" w:rsidRDefault="00805162" w:rsidP="00805162">
      <w:pPr>
        <w:jc w:val="center"/>
      </w:pPr>
    </w:p>
    <w:p w14:paraId="7EAC4AF7" w14:textId="77777777" w:rsidR="00805162" w:rsidRPr="00805162" w:rsidRDefault="006B45AA" w:rsidP="00805162">
      <w:pPr>
        <w:rPr>
          <w:b/>
          <w:u w:val="single"/>
        </w:rPr>
      </w:pPr>
      <w:r>
        <w:rPr>
          <w:b/>
          <w:sz w:val="24"/>
          <w:u w:val="single"/>
        </w:rPr>
        <w:t>Actuaciones previas a la fabricación</w:t>
      </w:r>
    </w:p>
    <w:p w14:paraId="32C4D0A7" w14:textId="77777777" w:rsidR="00856D48" w:rsidRPr="00DB0DD6" w:rsidRDefault="00856D48" w:rsidP="006B45AA">
      <w:pPr>
        <w:jc w:val="both"/>
      </w:pPr>
      <w:r>
        <w:t xml:space="preserve">El primer paso para la </w:t>
      </w:r>
      <w:r w:rsidR="00FC3D4B">
        <w:t>fabricación</w:t>
      </w:r>
      <w:r>
        <w:t xml:space="preserve"> de ma</w:t>
      </w:r>
      <w:r w:rsidR="00632AF7">
        <w:t>scarillas d</w:t>
      </w:r>
      <w:r w:rsidR="00FC3D4B">
        <w:t>e uso sanitario debe ser</w:t>
      </w:r>
      <w:r w:rsidR="00632AF7">
        <w:t xml:space="preserve"> </w:t>
      </w:r>
      <w:r w:rsidR="00FC3D4B">
        <w:t xml:space="preserve">la lectura de la norma armonizada </w:t>
      </w:r>
      <w:r w:rsidR="009B5286">
        <w:t xml:space="preserve">EN 14683:2019+AC:2019 </w:t>
      </w:r>
      <w:r w:rsidR="00FC3D4B">
        <w:t>“</w:t>
      </w:r>
      <w:r>
        <w:t>Máscaras quirúrgicas. Requisitos y métodos de ensayo</w:t>
      </w:r>
      <w:r w:rsidR="00FC3D4B">
        <w:t>”</w:t>
      </w:r>
      <w:r>
        <w:t xml:space="preserve">, </w:t>
      </w:r>
      <w:r w:rsidR="00FC3D4B">
        <w:t>así como de la Directiva 93/42/CEE sobre productos sanitarios.</w:t>
      </w:r>
    </w:p>
    <w:p w14:paraId="4385784D" w14:textId="77777777" w:rsidR="00FC3D4B" w:rsidRPr="00FC3D4B" w:rsidRDefault="00FC3D4B" w:rsidP="006B45AA">
      <w:pPr>
        <w:jc w:val="both"/>
      </w:pPr>
      <w:r w:rsidRPr="00FC3D4B">
        <w:t xml:space="preserve">El </w:t>
      </w:r>
      <w:r>
        <w:t>fabricante debe asegurar que las mascarillas han sido fabricadas de conformidad con los requisitos de la Directiva y para ello debe elaborar la documentación técnica necesaria para demostrar el cumplimiento de los requisitos esenciales definidos en el Aneo I de la Directiva 93/42/CEE. Para la demostración del cumplimiento de los requisitos esenciales</w:t>
      </w:r>
      <w:r w:rsidR="003F4B45">
        <w:t>,</w:t>
      </w:r>
      <w:r>
        <w:t xml:space="preserve"> puede seguir lo indicado en la norma EN 14683:20</w:t>
      </w:r>
      <w:r w:rsidR="009B5286">
        <w:t>19</w:t>
      </w:r>
      <w:r w:rsidR="00BB61FA">
        <w:t>. Además, la empresa debe seguir algun</w:t>
      </w:r>
      <w:r w:rsidR="00A25165">
        <w:t>o</w:t>
      </w:r>
      <w:r w:rsidR="00BB61FA">
        <w:t xml:space="preserve"> de los procedimientos de evaluación de la conformidad del producto según la Directiva 93/42/CEE.</w:t>
      </w:r>
    </w:p>
    <w:p w14:paraId="7264EF72" w14:textId="77777777" w:rsidR="00632AF7" w:rsidRDefault="00FE6EB8" w:rsidP="006B45AA">
      <w:pPr>
        <w:jc w:val="both"/>
      </w:pPr>
      <w:r>
        <w:t xml:space="preserve">Este proceso de evaluación de la conformidad para mascarillas quirúrgicas consiste en la elaboración de expediente del producto y la confirmación </w:t>
      </w:r>
      <w:r w:rsidR="00A25165">
        <w:t>mediante ensayos que el producto cumple los requisitos esenciales</w:t>
      </w:r>
      <w:r>
        <w:t>.</w:t>
      </w:r>
    </w:p>
    <w:p w14:paraId="2542E193" w14:textId="0408CCBA" w:rsidR="00BB61FA" w:rsidRDefault="00A25165" w:rsidP="006B45AA">
      <w:pPr>
        <w:jc w:val="both"/>
      </w:pPr>
      <w:r>
        <w:t>La norma EN 14683 establece los requisitos y métodos de ensayo. En función de los resultados obtenidos las mascarillas se clasifican en Tipo I y Tipo II en función de su capacidad de filtración bacteriana y</w:t>
      </w:r>
      <w:r w:rsidR="003F4B45">
        <w:t>,</w:t>
      </w:r>
      <w:r>
        <w:t xml:space="preserve"> dentro de cada tipo</w:t>
      </w:r>
      <w:r w:rsidR="003F4B45">
        <w:t>,</w:t>
      </w:r>
      <w:r>
        <w:t xml:space="preserve"> en Resistentes a salpicaduras (R). Por lo que se tienen en total </w:t>
      </w:r>
      <w:r w:rsidR="009B5286">
        <w:t>3</w:t>
      </w:r>
      <w:r>
        <w:t xml:space="preserve"> diferentes tipos de mascarillas quirúrgicas. Esta clasificación se muestra en la tabla </w:t>
      </w:r>
      <w:r w:rsidR="003F4B45">
        <w:t>a continuación.</w:t>
      </w:r>
    </w:p>
    <w:p w14:paraId="11D4934E" w14:textId="06DC3AFF" w:rsidR="00A25165" w:rsidRDefault="009B5286" w:rsidP="006B45AA">
      <w:pPr>
        <w:jc w:val="both"/>
      </w:pPr>
      <w:r>
        <w:t>L</w:t>
      </w:r>
      <w:r w:rsidR="00C834FB">
        <w:t xml:space="preserve">a norma </w:t>
      </w:r>
      <w:r>
        <w:t>EN 14683:2019+AC:2019, si bien</w:t>
      </w:r>
      <w:r w:rsidR="00C834FB">
        <w:t xml:space="preserve"> no se encuentra armonizada</w:t>
      </w:r>
      <w:r>
        <w:t xml:space="preserve">, es la versión que se exige, y reduce los tipos </w:t>
      </w:r>
      <w:r w:rsidR="00BC5587">
        <w:t xml:space="preserve">de mascarillas a 3, e indica también el uso previsto de cada una de ellas, como se </w:t>
      </w:r>
      <w:r w:rsidR="003F4B45">
        <w:t xml:space="preserve">recoge </w:t>
      </w:r>
      <w:r w:rsidR="00BC5587">
        <w:t>en la tabla 1 de esta norma  se reproduce en este documento:</w:t>
      </w:r>
      <w:r w:rsidR="00C834FB">
        <w:t xml:space="preserve">. </w:t>
      </w:r>
    </w:p>
    <w:p w14:paraId="2323D514" w14:textId="77777777" w:rsidR="00C834FB" w:rsidRDefault="00C834FB" w:rsidP="006B45AA">
      <w:pPr>
        <w:jc w:val="both"/>
      </w:pPr>
      <w:r>
        <w:rPr>
          <w:noProof/>
          <w:lang w:eastAsia="es-ES"/>
        </w:rPr>
        <w:drawing>
          <wp:inline distT="0" distB="0" distL="0" distR="0" wp14:anchorId="1D9C41DC" wp14:editId="0E975AE9">
            <wp:extent cx="6188710" cy="1936999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93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B22D85" w14:textId="3DCB09B4" w:rsidR="00C834FB" w:rsidRDefault="00C834FB" w:rsidP="006B45AA">
      <w:pPr>
        <w:jc w:val="both"/>
      </w:pPr>
      <w:r w:rsidRPr="00BC5587">
        <w:t xml:space="preserve">Cualquier empresa </w:t>
      </w:r>
      <w:r w:rsidR="00BC5587">
        <w:t xml:space="preserve">que posea los medios apropiados para superar los ensayos indicados </w:t>
      </w:r>
      <w:r w:rsidR="00632AF7">
        <w:t>que asegure el cumplimiento de</w:t>
      </w:r>
      <w:r w:rsidR="00BC5587">
        <w:t xml:space="preserve"> los requis</w:t>
      </w:r>
      <w:r w:rsidR="00632AF7">
        <w:t>itos esenciales de la Directiva puede</w:t>
      </w:r>
      <w:r w:rsidR="003F4B45">
        <w:t>,</w:t>
      </w:r>
      <w:r w:rsidR="00632AF7">
        <w:t xml:space="preserve"> una vez validado que su producto cumple con los requisitos</w:t>
      </w:r>
      <w:r w:rsidR="003F4B45">
        <w:t>,</w:t>
      </w:r>
      <w:r w:rsidR="00BC5587">
        <w:t xml:space="preserve"> realizar la declaración de conf</w:t>
      </w:r>
      <w:r w:rsidR="00632AF7">
        <w:t xml:space="preserve">ormidad y marcar </w:t>
      </w:r>
      <w:r w:rsidR="003F4B45">
        <w:t xml:space="preserve">con el marcado </w:t>
      </w:r>
      <w:r w:rsidR="00632AF7">
        <w:t>CE s</w:t>
      </w:r>
      <w:r w:rsidR="00BC5587">
        <w:t>us productos.</w:t>
      </w:r>
      <w:r w:rsidR="00732280">
        <w:t xml:space="preserve"> Además, la empresa debe mantener un sistema de calidad adecuado al procedimiento de la evaluación de la conformidad elegido. </w:t>
      </w:r>
    </w:p>
    <w:p w14:paraId="3E890535" w14:textId="77777777" w:rsidR="00732280" w:rsidRDefault="00732280" w:rsidP="006B45AA">
      <w:pPr>
        <w:jc w:val="both"/>
      </w:pPr>
      <w:r>
        <w:t xml:space="preserve">La empresa que vaya a fabricar mascarillas quirúrgicas necesita una Licencia Previa de Funcionamiento </w:t>
      </w:r>
      <w:r w:rsidR="00727040">
        <w:t>otorgada por la Agencia Española de Medicamentos Productos Sanitarios (AEMPS)</w:t>
      </w:r>
      <w:r w:rsidR="003F4B45">
        <w:t>,</w:t>
      </w:r>
      <w:r w:rsidR="00727040">
        <w:t xml:space="preserve"> de acuerdo al Real Decreto 1591/2009, de 16 de octubre.</w:t>
      </w:r>
    </w:p>
    <w:p w14:paraId="29999D71" w14:textId="0E8FD78F" w:rsidR="00BC5587" w:rsidRPr="00BC5587" w:rsidRDefault="00BC5587" w:rsidP="006B45AA">
      <w:pPr>
        <w:jc w:val="both"/>
      </w:pPr>
      <w:r>
        <w:t>Uno de los aspectos que no inclu</w:t>
      </w:r>
      <w:r w:rsidR="00732280">
        <w:t>y</w:t>
      </w:r>
      <w:r>
        <w:t xml:space="preserve">e esta norma </w:t>
      </w:r>
      <w:r w:rsidR="00732280">
        <w:t>es lo relativo al proceso productivo y a la biocompatibi</w:t>
      </w:r>
      <w:r w:rsidR="003F4B45">
        <w:t>l</w:t>
      </w:r>
      <w:r w:rsidR="00732280">
        <w:t xml:space="preserve">idad del producto al estar en contacto con la piel humana. En cuanto al proceso productivo, el fabricante debe </w:t>
      </w:r>
      <w:r w:rsidR="00732280">
        <w:lastRenderedPageBreak/>
        <w:t xml:space="preserve">mantener condiciones de limpieza </w:t>
      </w:r>
      <w:bookmarkStart w:id="0" w:name="_GoBack"/>
      <w:r w:rsidR="002A5233">
        <w:t xml:space="preserve"> para asegurar un  </w:t>
      </w:r>
      <w:bookmarkEnd w:id="0"/>
      <w:r w:rsidR="00732280">
        <w:t>bajo nivel microbiano. En el caso de la biocompatibilidad</w:t>
      </w:r>
      <w:r w:rsidR="003F4B45">
        <w:t>,</w:t>
      </w:r>
      <w:r w:rsidR="00732280">
        <w:t xml:space="preserve"> se deberán utilizar materiales ya </w:t>
      </w:r>
      <w:r w:rsidR="003F4B45">
        <w:t xml:space="preserve">utilizados </w:t>
      </w:r>
      <w:r w:rsidR="00732280">
        <w:t>de forma general en este tipo de productos.</w:t>
      </w:r>
    </w:p>
    <w:p w14:paraId="0539D411" w14:textId="77777777" w:rsidR="006B45AA" w:rsidRDefault="006B45AA" w:rsidP="00FE33A8">
      <w:pPr>
        <w:jc w:val="both"/>
      </w:pPr>
    </w:p>
    <w:p w14:paraId="168945C1" w14:textId="77777777" w:rsidR="00805162" w:rsidRPr="00805162" w:rsidRDefault="006B45AA" w:rsidP="005C0AF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Proceso habitual de fabricación</w:t>
      </w:r>
    </w:p>
    <w:p w14:paraId="2B45ABB8" w14:textId="2B906803" w:rsidR="008C1F5E" w:rsidRPr="008C1F5E" w:rsidRDefault="00D457A3" w:rsidP="008C1F5E">
      <w:pPr>
        <w:jc w:val="both"/>
      </w:pPr>
      <w:r>
        <w:t xml:space="preserve">La Directiva europea </w:t>
      </w:r>
      <w:r w:rsidR="008C1F5E" w:rsidRPr="008C1F5E">
        <w:t xml:space="preserve"> y la norma técnica no establece el modo de fabricar, ni el tipo de máquinas</w:t>
      </w:r>
      <w:r w:rsidR="003F4B45">
        <w:t>,</w:t>
      </w:r>
      <w:r w:rsidR="008C1F5E" w:rsidRPr="008C1F5E">
        <w:t xml:space="preserve"> ni el tipo de tejidos</w:t>
      </w:r>
      <w:r w:rsidR="008C1F5E">
        <w:t>. L</w:t>
      </w:r>
      <w:r w:rsidR="008C1F5E" w:rsidRPr="008C1F5E">
        <w:t>o que a continuación se detalla es un resumen de</w:t>
      </w:r>
      <w:r w:rsidR="008C1F5E">
        <w:t>l proceso habitual</w:t>
      </w:r>
      <w:r w:rsidR="008C1F5E" w:rsidRPr="008C1F5E">
        <w:t>.</w:t>
      </w:r>
    </w:p>
    <w:p w14:paraId="2AD98AEF" w14:textId="77777777" w:rsidR="008C1F5E" w:rsidRDefault="008C1F5E" w:rsidP="008C1F5E">
      <w:pPr>
        <w:jc w:val="both"/>
      </w:pPr>
      <w:r>
        <w:t xml:space="preserve">La instalación debe contar </w:t>
      </w:r>
      <w:r w:rsidR="00727040">
        <w:t xml:space="preserve">con </w:t>
      </w:r>
      <w:r w:rsidR="00632AF7">
        <w:t>l</w:t>
      </w:r>
      <w:r w:rsidR="00727040">
        <w:t>os medios necesarios para mantener unas altas condiciones de limpieza e higiene. Para ello es necesario limpieza con agentes bactericidas y fungicidas, así como sistemas de control de plagas raticidas.</w:t>
      </w:r>
    </w:p>
    <w:p w14:paraId="76B3CB89" w14:textId="057C5589" w:rsidR="008C1F5E" w:rsidRPr="008C1F5E" w:rsidRDefault="00727040" w:rsidP="008C1F5E">
      <w:pPr>
        <w:jc w:val="both"/>
      </w:pPr>
      <w:r>
        <w:t xml:space="preserve">El proceso productivo depende </w:t>
      </w:r>
      <w:r w:rsidR="003F4B45">
        <w:t xml:space="preserve">considerablemente </w:t>
      </w:r>
      <w:r>
        <w:t>de los materiales utilizados</w:t>
      </w:r>
      <w:r w:rsidR="00B64F18">
        <w:t>. Así puede ser un proceso muy artesanal con tijeras y máquinas tradicionales de costura</w:t>
      </w:r>
      <w:r w:rsidR="003F4B45">
        <w:t xml:space="preserve">, o un proceso más complejo que utilice </w:t>
      </w:r>
      <w:r w:rsidR="00B64F18">
        <w:t>maquinaria de corte, doblado y termosellado.</w:t>
      </w:r>
    </w:p>
    <w:p w14:paraId="6A94495E" w14:textId="0DEA0FF6" w:rsidR="008C1F5E" w:rsidRDefault="008C1F5E" w:rsidP="008C1F5E">
      <w:pPr>
        <w:jc w:val="both"/>
      </w:pPr>
      <w:r>
        <w:t xml:space="preserve">Una vez </w:t>
      </w:r>
      <w:r w:rsidR="003F4B45">
        <w:t xml:space="preserve">la tela </w:t>
      </w:r>
      <w:r>
        <w:t xml:space="preserve">tenga la forma, </w:t>
      </w:r>
      <w:r w:rsidRPr="008C1F5E">
        <w:t xml:space="preserve">se remata con cosido y gomas para sujetarla. También podría ir </w:t>
      </w:r>
      <w:r w:rsidR="003F4B45" w:rsidRPr="008C1F5E">
        <w:t>termosellad</w:t>
      </w:r>
      <w:r w:rsidR="003F4B45">
        <w:t>a</w:t>
      </w:r>
      <w:r w:rsidR="003F4B45" w:rsidRPr="008C1F5E">
        <w:t xml:space="preserve"> </w:t>
      </w:r>
      <w:r w:rsidRPr="008C1F5E">
        <w:t xml:space="preserve">para no perforar el material </w:t>
      </w:r>
      <w:r>
        <w:t xml:space="preserve">y así </w:t>
      </w:r>
      <w:r w:rsidRPr="008C1F5E">
        <w:t>evita</w:t>
      </w:r>
      <w:r>
        <w:t>r la penetración de partículas, en cuyo caso neces</w:t>
      </w:r>
      <w:r w:rsidR="00B64F18">
        <w:t>itará máquinas de termosellado.</w:t>
      </w:r>
    </w:p>
    <w:p w14:paraId="55CF8C10" w14:textId="7C2582AB" w:rsidR="00B64F18" w:rsidRDefault="00B64F18" w:rsidP="008C1F5E">
      <w:pPr>
        <w:jc w:val="both"/>
      </w:pPr>
      <w:r>
        <w:t>.</w:t>
      </w:r>
    </w:p>
    <w:p w14:paraId="459096D8" w14:textId="633893C4" w:rsidR="008C1F5E" w:rsidRPr="008C1F5E" w:rsidRDefault="008C1F5E" w:rsidP="008C1F5E">
      <w:pPr>
        <w:jc w:val="both"/>
      </w:pPr>
      <w:r w:rsidRPr="008C1F5E">
        <w:t xml:space="preserve">Como ajuste a la cabeza </w:t>
      </w:r>
      <w:r w:rsidR="003F4B45">
        <w:t xml:space="preserve">disponen de </w:t>
      </w:r>
      <w:r w:rsidRPr="008C1F5E">
        <w:t xml:space="preserve">tiras de goma que permiten el ajuste de la máscara al usuario para </w:t>
      </w:r>
      <w:r w:rsidR="00B64F18">
        <w:t>una mejor protección de la persona que la lleva y de otras personas.</w:t>
      </w:r>
    </w:p>
    <w:p w14:paraId="56F7AAFE" w14:textId="77777777" w:rsidR="008C1F5E" w:rsidRPr="008C1F5E" w:rsidRDefault="008C1F5E" w:rsidP="008C1F5E">
      <w:pPr>
        <w:jc w:val="both"/>
      </w:pPr>
      <w:r w:rsidRPr="008C1F5E">
        <w:t>La mascarilla no debe entorpecer el campo de visión del usuario ni llevar bordes o rebabas que puedan ser molestas o dañar al usuario.</w:t>
      </w:r>
    </w:p>
    <w:p w14:paraId="7667B9E5" w14:textId="3356D76E" w:rsidR="008C1F5E" w:rsidRPr="008C1F5E" w:rsidRDefault="008C1F5E" w:rsidP="008C1F5E">
      <w:pPr>
        <w:jc w:val="both"/>
      </w:pPr>
      <w:r w:rsidRPr="008C1F5E">
        <w:t xml:space="preserve">La empresa fabricante es la responsable </w:t>
      </w:r>
      <w:r w:rsidR="00D457A3">
        <w:t xml:space="preserve">del </w:t>
      </w:r>
      <w:r w:rsidRPr="008C1F5E">
        <w:t xml:space="preserve"> marcado CE y </w:t>
      </w:r>
      <w:r w:rsidR="00BB79A6">
        <w:t xml:space="preserve">de embalar </w:t>
      </w:r>
      <w:r w:rsidRPr="008C1F5E">
        <w:t xml:space="preserve">las unidades.. </w:t>
      </w:r>
    </w:p>
    <w:p w14:paraId="04538E6A" w14:textId="77777777" w:rsidR="00805162" w:rsidRDefault="00805162" w:rsidP="00805162"/>
    <w:p w14:paraId="148B34AE" w14:textId="77777777" w:rsidR="00BE1986" w:rsidRPr="00AE3AAD" w:rsidRDefault="008C1F5E" w:rsidP="00AE3AA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Materiales a utilizar</w:t>
      </w:r>
    </w:p>
    <w:p w14:paraId="3B70A538" w14:textId="25935E12" w:rsidR="008C1F5E" w:rsidRDefault="00B64F18" w:rsidP="008C1F5E">
      <w:pPr>
        <w:jc w:val="both"/>
      </w:pPr>
      <w:r>
        <w:t xml:space="preserve">Este tipo de mascarillas puede fabricarse con materiales naturales, como algodón </w:t>
      </w:r>
      <w:r w:rsidR="00D457A3">
        <w:t xml:space="preserve">u otros materiales </w:t>
      </w:r>
      <w:r w:rsidR="0001460A">
        <w:t xml:space="preserve">como el Tejido no Tejido (TNT: </w:t>
      </w:r>
      <w:r w:rsidR="0001460A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textile non-tissé</w:t>
      </w:r>
      <w:r w:rsidR="0001460A">
        <w:t xml:space="preserve">) </w:t>
      </w:r>
      <w:r w:rsidR="0001460A" w:rsidRPr="0001460A">
        <w:t>convencional</w:t>
      </w:r>
      <w:r w:rsidR="0001460A">
        <w:t xml:space="preserve"> de 50-60 g/m2 o Espesor: 0,3 -0,5 mm.</w:t>
      </w:r>
    </w:p>
    <w:p w14:paraId="6B7F1D0C" w14:textId="218C9A7A" w:rsidR="0001460A" w:rsidRDefault="0001460A" w:rsidP="008C1F5E">
      <w:pPr>
        <w:jc w:val="both"/>
      </w:pPr>
      <w:r>
        <w:t xml:space="preserve">Lo recomendable es utilizar los tejidos habituales para no tener que realizar ensayos de biocompatibilidad con la piel humana, como por ejemplo el TNT 50% viscosa 50% poliéster, que tiene avalada esta </w:t>
      </w:r>
      <w:r w:rsidR="00BB79A6">
        <w:t>característica</w:t>
      </w:r>
      <w:r>
        <w:t>.</w:t>
      </w:r>
    </w:p>
    <w:p w14:paraId="0307323D" w14:textId="77777777" w:rsidR="00545689" w:rsidRDefault="00545689" w:rsidP="004D18CA">
      <w:pPr>
        <w:jc w:val="both"/>
      </w:pPr>
      <w:r>
        <w:t>Posibles suministradores de tejidos:</w:t>
      </w:r>
    </w:p>
    <w:p w14:paraId="461F0E73" w14:textId="77777777" w:rsidR="00545689" w:rsidRDefault="00545689" w:rsidP="004D18CA">
      <w:pPr>
        <w:jc w:val="both"/>
      </w:pPr>
      <w:r>
        <w:tab/>
        <w:t>SONTARA ASTURIAS (Asturias)</w:t>
      </w:r>
    </w:p>
    <w:p w14:paraId="307A25C7" w14:textId="77777777" w:rsidR="00545689" w:rsidRDefault="00545689" w:rsidP="00545689">
      <w:pPr>
        <w:jc w:val="both"/>
      </w:pPr>
      <w:r>
        <w:tab/>
      </w:r>
      <w:r w:rsidRPr="00545689">
        <w:t>NV EVOLUTIA SL.</w:t>
      </w:r>
      <w:r>
        <w:t xml:space="preserve"> (Valencia)</w:t>
      </w:r>
    </w:p>
    <w:p w14:paraId="5907FF29" w14:textId="77777777" w:rsidR="00545689" w:rsidRDefault="00545689" w:rsidP="00545689">
      <w:pPr>
        <w:jc w:val="both"/>
      </w:pPr>
      <w:r>
        <w:tab/>
        <w:t>TODOFIL (</w:t>
      </w:r>
      <w:r w:rsidR="00632AF7">
        <w:t>Valencia</w:t>
      </w:r>
      <w:r>
        <w:t>)</w:t>
      </w:r>
    </w:p>
    <w:p w14:paraId="22D4A6C1" w14:textId="77777777" w:rsidR="00B17141" w:rsidRDefault="00B17141" w:rsidP="00545689">
      <w:pPr>
        <w:jc w:val="both"/>
      </w:pPr>
      <w:r>
        <w:tab/>
        <w:t>HISPANO TEX (Barcelona)</w:t>
      </w:r>
    </w:p>
    <w:p w14:paraId="530E124E" w14:textId="77777777" w:rsidR="008C1F5E" w:rsidRPr="00CE69C9" w:rsidRDefault="00B17141" w:rsidP="00CE69C9">
      <w:pPr>
        <w:jc w:val="both"/>
      </w:pPr>
      <w:r>
        <w:t>Para realizar ensayos se puede contar con los servicios de AITEX (Valencia), empresa acreditada como laboratorio de ensayo por ENAC.</w:t>
      </w:r>
    </w:p>
    <w:p w14:paraId="5DE10C28" w14:textId="77777777" w:rsidR="008C1F5E" w:rsidRDefault="00B17141" w:rsidP="002043B9">
      <w:pPr>
        <w:jc w:val="both"/>
      </w:pPr>
      <w:r>
        <w:t>Sería recomendable la realización de ensayos de carga bacteriana de la fabricac</w:t>
      </w:r>
      <w:r w:rsidR="00632AF7">
        <w:t>ión para la validación de los lo</w:t>
      </w:r>
      <w:r>
        <w:t>tes de producción.</w:t>
      </w:r>
    </w:p>
    <w:sectPr w:rsidR="008C1F5E" w:rsidSect="008051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69B0"/>
    <w:multiLevelType w:val="hybridMultilevel"/>
    <w:tmpl w:val="278809AE"/>
    <w:lvl w:ilvl="0" w:tplc="CE9CB040">
      <w:start w:val="62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64221E"/>
    <w:multiLevelType w:val="hybridMultilevel"/>
    <w:tmpl w:val="226A8C6C"/>
    <w:lvl w:ilvl="0" w:tplc="D8C0F06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62"/>
    <w:rsid w:val="0001460A"/>
    <w:rsid w:val="00020129"/>
    <w:rsid w:val="00043945"/>
    <w:rsid w:val="000A424F"/>
    <w:rsid w:val="000B3A20"/>
    <w:rsid w:val="000F62CE"/>
    <w:rsid w:val="001A26B4"/>
    <w:rsid w:val="001B1129"/>
    <w:rsid w:val="001E5426"/>
    <w:rsid w:val="001E709C"/>
    <w:rsid w:val="002043B9"/>
    <w:rsid w:val="00204DCC"/>
    <w:rsid w:val="002A5233"/>
    <w:rsid w:val="00336B79"/>
    <w:rsid w:val="00386795"/>
    <w:rsid w:val="003F4B45"/>
    <w:rsid w:val="003F7A42"/>
    <w:rsid w:val="00440BB5"/>
    <w:rsid w:val="00447282"/>
    <w:rsid w:val="004910B8"/>
    <w:rsid w:val="004C1B42"/>
    <w:rsid w:val="004D18CA"/>
    <w:rsid w:val="00506974"/>
    <w:rsid w:val="00545689"/>
    <w:rsid w:val="00555189"/>
    <w:rsid w:val="00571501"/>
    <w:rsid w:val="00574FFE"/>
    <w:rsid w:val="005B4E5A"/>
    <w:rsid w:val="005C0AF6"/>
    <w:rsid w:val="00620331"/>
    <w:rsid w:val="00632AF7"/>
    <w:rsid w:val="0063574C"/>
    <w:rsid w:val="00672759"/>
    <w:rsid w:val="00675810"/>
    <w:rsid w:val="006B45AA"/>
    <w:rsid w:val="006B7CCB"/>
    <w:rsid w:val="006C62C2"/>
    <w:rsid w:val="00727040"/>
    <w:rsid w:val="00732280"/>
    <w:rsid w:val="00777CEE"/>
    <w:rsid w:val="00786C01"/>
    <w:rsid w:val="007937F0"/>
    <w:rsid w:val="007B7116"/>
    <w:rsid w:val="00805162"/>
    <w:rsid w:val="008221AB"/>
    <w:rsid w:val="008510F2"/>
    <w:rsid w:val="00856D48"/>
    <w:rsid w:val="008C1F5E"/>
    <w:rsid w:val="008C4479"/>
    <w:rsid w:val="00906204"/>
    <w:rsid w:val="00932BE4"/>
    <w:rsid w:val="009469D3"/>
    <w:rsid w:val="00963A39"/>
    <w:rsid w:val="009710A7"/>
    <w:rsid w:val="009B5286"/>
    <w:rsid w:val="009D0C85"/>
    <w:rsid w:val="00A25165"/>
    <w:rsid w:val="00A63F9D"/>
    <w:rsid w:val="00A86F5A"/>
    <w:rsid w:val="00A96B15"/>
    <w:rsid w:val="00AE3AAD"/>
    <w:rsid w:val="00B17141"/>
    <w:rsid w:val="00B2123B"/>
    <w:rsid w:val="00B24B58"/>
    <w:rsid w:val="00B41BF4"/>
    <w:rsid w:val="00B63A9A"/>
    <w:rsid w:val="00B64F18"/>
    <w:rsid w:val="00B91167"/>
    <w:rsid w:val="00BB61FA"/>
    <w:rsid w:val="00BB79A6"/>
    <w:rsid w:val="00BC5587"/>
    <w:rsid w:val="00BC7841"/>
    <w:rsid w:val="00BE1986"/>
    <w:rsid w:val="00BF7C57"/>
    <w:rsid w:val="00C05DFD"/>
    <w:rsid w:val="00C22AC4"/>
    <w:rsid w:val="00C33782"/>
    <w:rsid w:val="00C75B52"/>
    <w:rsid w:val="00C834FB"/>
    <w:rsid w:val="00C94475"/>
    <w:rsid w:val="00CE1E99"/>
    <w:rsid w:val="00CE69C9"/>
    <w:rsid w:val="00D24AF3"/>
    <w:rsid w:val="00D457A3"/>
    <w:rsid w:val="00D5765C"/>
    <w:rsid w:val="00D75284"/>
    <w:rsid w:val="00D8490E"/>
    <w:rsid w:val="00DA1A80"/>
    <w:rsid w:val="00DB0DD6"/>
    <w:rsid w:val="00DB2B41"/>
    <w:rsid w:val="00DD317A"/>
    <w:rsid w:val="00DE6D5B"/>
    <w:rsid w:val="00E86A65"/>
    <w:rsid w:val="00E86C82"/>
    <w:rsid w:val="00EA1072"/>
    <w:rsid w:val="00F27E70"/>
    <w:rsid w:val="00F95AE6"/>
    <w:rsid w:val="00FC3D4B"/>
    <w:rsid w:val="00FE33A8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E080"/>
  <w15:docId w15:val="{26FC6C9B-F6EA-42E3-97ED-15F27896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974"/>
  </w:style>
  <w:style w:type="paragraph" w:styleId="Ttulo2">
    <w:name w:val="heading 2"/>
    <w:basedOn w:val="Normal"/>
    <w:link w:val="Ttulo2Car"/>
    <w:uiPriority w:val="9"/>
    <w:qFormat/>
    <w:rsid w:val="00545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516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E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7C5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8679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3574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4F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4568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AE2F-FE3C-4C49-B89A-61731135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csegind@mincotur.es</dc:creator>
  <cp:lastModifiedBy>Prieto Barrio, Jose Manuel</cp:lastModifiedBy>
  <cp:revision>6</cp:revision>
  <dcterms:created xsi:type="dcterms:W3CDTF">2020-03-23T08:18:00Z</dcterms:created>
  <dcterms:modified xsi:type="dcterms:W3CDTF">2020-03-23T21:01:00Z</dcterms:modified>
</cp:coreProperties>
</file>